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466" w:rsidRPr="008E4466" w:rsidRDefault="00B96991" w:rsidP="008E4466">
      <w:pPr>
        <w:jc w:val="center"/>
        <w:rPr>
          <w:rFonts w:ascii="ＭＳ ゴシック" w:eastAsia="ＭＳ ゴシック" w:hAnsi="ＭＳ ゴシック"/>
        </w:rPr>
      </w:pPr>
      <w:r w:rsidRPr="00B96991">
        <w:rPr>
          <w:rFonts w:ascii="ＭＳ ゴシック" w:eastAsia="ＭＳ ゴシック" w:hAnsi="ＭＳ ゴシック"/>
          <w:noProof/>
        </w:rPr>
        <mc:AlternateContent>
          <mc:Choice Requires="wps">
            <w:drawing>
              <wp:anchor distT="45720" distB="45720" distL="114300" distR="114300" simplePos="0" relativeHeight="251667456" behindDoc="0" locked="0" layoutInCell="1" allowOverlap="1">
                <wp:simplePos x="0" y="0"/>
                <wp:positionH relativeFrom="margin">
                  <wp:posOffset>5724126</wp:posOffset>
                </wp:positionH>
                <wp:positionV relativeFrom="paragraph">
                  <wp:posOffset>-299183</wp:posOffset>
                </wp:positionV>
                <wp:extent cx="621665" cy="1404620"/>
                <wp:effectExtent l="0" t="0" r="6985"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1404620"/>
                        </a:xfrm>
                        <a:prstGeom prst="rect">
                          <a:avLst/>
                        </a:prstGeom>
                        <a:solidFill>
                          <a:srgbClr val="FFFFFF"/>
                        </a:solidFill>
                        <a:ln w="9525">
                          <a:noFill/>
                          <a:miter lim="800000"/>
                          <a:headEnd/>
                          <a:tailEnd/>
                        </a:ln>
                      </wps:spPr>
                      <wps:txbx>
                        <w:txbxContent>
                          <w:p w:rsidR="00B96991" w:rsidRPr="00B96991" w:rsidRDefault="00B96991">
                            <w:pPr>
                              <w:rPr>
                                <w:rFonts w:ascii="ＭＳ ゴシック" w:eastAsia="ＭＳ ゴシック" w:hAnsi="ＭＳ ゴシック"/>
                              </w:rPr>
                            </w:pPr>
                            <w:r w:rsidRPr="00B96991">
                              <w:rPr>
                                <w:rFonts w:ascii="ＭＳ ゴシック" w:eastAsia="ＭＳ ゴシック" w:hAnsi="ＭＳ ゴシック" w:hint="eastAsia"/>
                              </w:rPr>
                              <w:t>別紙</w:t>
                            </w:r>
                            <w:r w:rsidRPr="00B96991">
                              <w:rPr>
                                <w:rFonts w:ascii="ＭＳ ゴシック" w:eastAsia="ＭＳ ゴシック" w:hAnsi="ＭＳ ゴシック"/>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0.7pt;margin-top:-23.55pt;width:48.95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" stroked="f">
                <v:textbox style="mso-fit-shape-to-text:t">
                  <w:txbxContent>
                    <w:p w:rsidR="00B96991" w:rsidRPr="00B96991" w:rsidRDefault="00B96991">
                      <w:pPr>
                        <w:rPr>
                          <w:rFonts w:ascii="ＭＳ ゴシック" w:eastAsia="ＭＳ ゴシック" w:hAnsi="ＭＳ ゴシック"/>
                        </w:rPr>
                      </w:pPr>
                      <w:r w:rsidRPr="00B96991">
                        <w:rPr>
                          <w:rFonts w:ascii="ＭＳ ゴシック" w:eastAsia="ＭＳ ゴシック" w:hAnsi="ＭＳ ゴシック" w:hint="eastAsia"/>
                        </w:rPr>
                        <w:t>別紙</w:t>
                      </w:r>
                      <w:r w:rsidRPr="00B96991">
                        <w:rPr>
                          <w:rFonts w:ascii="ＭＳ ゴシック" w:eastAsia="ＭＳ ゴシック" w:hAnsi="ＭＳ ゴシック"/>
                        </w:rPr>
                        <w:t>１</w:t>
                      </w:r>
                    </w:p>
                  </w:txbxContent>
                </v:textbox>
                <w10:wrap anchorx="margin"/>
              </v:shape>
            </w:pict>
          </mc:Fallback>
        </mc:AlternateContent>
      </w:r>
      <w:r w:rsidR="008E4466" w:rsidRPr="008E4466">
        <w:rPr>
          <w:rFonts w:ascii="ＭＳ ゴシック" w:eastAsia="ＭＳ ゴシック" w:hAnsi="ＭＳ ゴシック" w:hint="eastAsia"/>
        </w:rPr>
        <w:t>令和５年度大分県小・中学校教育課程研究協議</w:t>
      </w:r>
      <w:r w:rsidR="00BB103B">
        <w:rPr>
          <w:rFonts w:ascii="ＭＳ ゴシック" w:eastAsia="ＭＳ ゴシック" w:hAnsi="ＭＳ ゴシック" w:hint="eastAsia"/>
        </w:rPr>
        <w:t>会</w:t>
      </w:r>
      <w:r w:rsidR="008E4466" w:rsidRPr="008E4466">
        <w:rPr>
          <w:rFonts w:ascii="ＭＳ ゴシック" w:eastAsia="ＭＳ ゴシック" w:hAnsi="ＭＳ ゴシック" w:hint="eastAsia"/>
        </w:rPr>
        <w:t>の重点</w:t>
      </w:r>
    </w:p>
    <w:p w:rsidR="008E4466" w:rsidRPr="008E4466" w:rsidRDefault="008E4466" w:rsidP="008E4466">
      <w:pPr>
        <w:rPr>
          <w:rFonts w:ascii="ＭＳ 明朝" w:eastAsia="ＭＳ 明朝" w:hAnsi="ＭＳ 明朝"/>
        </w:rPr>
      </w:pPr>
    </w:p>
    <w:p w:rsidR="008E4466" w:rsidRPr="008E4466" w:rsidRDefault="003B1C03" w:rsidP="008E4466">
      <w:pPr>
        <w:ind w:firstLineChars="100" w:firstLine="210"/>
        <w:rPr>
          <w:rFonts w:ascii="ＭＳ 明朝" w:eastAsia="ＭＳ 明朝" w:hAnsi="ＭＳ 明朝"/>
        </w:rPr>
      </w:pPr>
      <w:r w:rsidRPr="008E4466">
        <w:rPr>
          <w:rFonts w:ascii="ＭＳ 明朝" w:eastAsia="ＭＳ 明朝" w:hAnsi="ＭＳ 明朝"/>
          <w:noProof/>
        </w:rPr>
        <mc:AlternateContent>
          <mc:Choice Requires="wps">
            <w:drawing>
              <wp:anchor distT="45720" distB="45720" distL="114300" distR="114300" simplePos="0" relativeHeight="251661312" behindDoc="0" locked="0" layoutInCell="1" allowOverlap="1">
                <wp:simplePos x="0" y="0"/>
                <wp:positionH relativeFrom="column">
                  <wp:posOffset>22860</wp:posOffset>
                </wp:positionH>
                <wp:positionV relativeFrom="paragraph">
                  <wp:posOffset>594995</wp:posOffset>
                </wp:positionV>
                <wp:extent cx="6069965" cy="603250"/>
                <wp:effectExtent l="0" t="0" r="26035" b="254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603250"/>
                        </a:xfrm>
                        <a:prstGeom prst="rect">
                          <a:avLst/>
                        </a:prstGeom>
                        <a:solidFill>
                          <a:srgbClr val="FFFFFF"/>
                        </a:solidFill>
                        <a:ln w="9525">
                          <a:solidFill>
                            <a:srgbClr val="000000"/>
                          </a:solidFill>
                          <a:miter lim="800000"/>
                          <a:headEnd/>
                          <a:tailEnd/>
                        </a:ln>
                      </wps:spPr>
                      <wps:txbx>
                        <w:txbxContent>
                          <w:p w:rsidR="008E4466" w:rsidRPr="00BC7451" w:rsidRDefault="008E4466" w:rsidP="00D3184D">
                            <w:pPr>
                              <w:pStyle w:val="a4"/>
                              <w:numPr>
                                <w:ilvl w:val="0"/>
                                <w:numId w:val="6"/>
                              </w:numPr>
                              <w:spacing w:beforeLines="50" w:before="152"/>
                              <w:ind w:leftChars="0"/>
                              <w:rPr>
                                <w:rFonts w:ascii="ＭＳ ゴシック" w:eastAsia="ＭＳ ゴシック" w:hAnsi="ＭＳ ゴシック"/>
                              </w:rPr>
                            </w:pPr>
                            <w:r w:rsidRPr="00BC7451">
                              <w:rPr>
                                <w:rFonts w:ascii="ＭＳ ゴシック" w:eastAsia="ＭＳ ゴシック" w:hAnsi="ＭＳ ゴシック"/>
                              </w:rPr>
                              <w:t>単元</w:t>
                            </w:r>
                            <w:r w:rsidR="00661990" w:rsidRPr="00BC7451">
                              <w:rPr>
                                <w:rFonts w:ascii="ＭＳ ゴシック" w:eastAsia="ＭＳ ゴシック" w:hAnsi="ＭＳ ゴシック" w:hint="eastAsia"/>
                              </w:rPr>
                              <w:t>の</w:t>
                            </w:r>
                            <w:r w:rsidRPr="00BC7451">
                              <w:rPr>
                                <w:rFonts w:ascii="ＭＳ ゴシック" w:eastAsia="ＭＳ ゴシック" w:hAnsi="ＭＳ ゴシック"/>
                              </w:rPr>
                              <w:t>指導計画作成と学習評価の充実による、</w:t>
                            </w:r>
                            <w:r w:rsidR="00661990" w:rsidRPr="00BC7451">
                              <w:rPr>
                                <w:rFonts w:ascii="ＭＳ ゴシック" w:eastAsia="ＭＳ ゴシック" w:hAnsi="ＭＳ ゴシック" w:hint="eastAsia"/>
                              </w:rPr>
                              <w:t>各教科等で</w:t>
                            </w:r>
                            <w:r w:rsidRPr="00BC7451">
                              <w:rPr>
                                <w:rFonts w:ascii="ＭＳ ゴシック" w:eastAsia="ＭＳ ゴシック" w:hAnsi="ＭＳ ゴシック"/>
                              </w:rPr>
                              <w:t>目指す資質・能力の育成</w:t>
                            </w:r>
                          </w:p>
                          <w:p w:rsidR="008E4466" w:rsidRPr="00BC7451" w:rsidRDefault="00661990" w:rsidP="00D3184D">
                            <w:pPr>
                              <w:pStyle w:val="a4"/>
                              <w:numPr>
                                <w:ilvl w:val="0"/>
                                <w:numId w:val="6"/>
                              </w:numPr>
                              <w:ind w:leftChars="0"/>
                              <w:rPr>
                                <w:rFonts w:ascii="ＭＳ ゴシック" w:eastAsia="ＭＳ ゴシック" w:hAnsi="ＭＳ ゴシック"/>
                              </w:rPr>
                            </w:pPr>
                            <w:r w:rsidRPr="00BC7451">
                              <w:rPr>
                                <w:rFonts w:ascii="ＭＳ ゴシック" w:eastAsia="ＭＳ ゴシック" w:hAnsi="ＭＳ ゴシック" w:hint="eastAsia"/>
                              </w:rPr>
                              <w:t>児童生徒に</w:t>
                            </w:r>
                            <w:r w:rsidR="008E4466" w:rsidRPr="00BC7451">
                              <w:rPr>
                                <w:rFonts w:ascii="ＭＳ ゴシック" w:eastAsia="ＭＳ ゴシック" w:hAnsi="ＭＳ ゴシック"/>
                              </w:rPr>
                              <w:t>資質・能力を育成するための、１人１台端末の効果的な活用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8pt;margin-top:46.85pt;width:477.95pt;height:4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">
                <v:textbox>
                  <w:txbxContent>
                    <w:p w:rsidR="008E4466" w:rsidRPr="00BC7451" w:rsidRDefault="008E4466" w:rsidP="00D3184D">
                      <w:pPr>
                        <w:pStyle w:val="a4"/>
                        <w:numPr>
                          <w:ilvl w:val="0"/>
                          <w:numId w:val="6"/>
                        </w:numPr>
                        <w:spacing w:beforeLines="50" w:before="152"/>
                        <w:ind w:leftChars="0"/>
                        <w:rPr>
                          <w:rFonts w:ascii="ＭＳ ゴシック" w:eastAsia="ＭＳ ゴシック" w:hAnsi="ＭＳ ゴシック"/>
                        </w:rPr>
                      </w:pPr>
                      <w:r w:rsidRPr="00BC7451">
                        <w:rPr>
                          <w:rFonts w:ascii="ＭＳ ゴシック" w:eastAsia="ＭＳ ゴシック" w:hAnsi="ＭＳ ゴシック"/>
                        </w:rPr>
                        <w:t>単元</w:t>
                      </w:r>
                      <w:r w:rsidR="00661990" w:rsidRPr="00BC7451">
                        <w:rPr>
                          <w:rFonts w:ascii="ＭＳ ゴシック" w:eastAsia="ＭＳ ゴシック" w:hAnsi="ＭＳ ゴシック" w:hint="eastAsia"/>
                        </w:rPr>
                        <w:t>の</w:t>
                      </w:r>
                      <w:r w:rsidRPr="00BC7451">
                        <w:rPr>
                          <w:rFonts w:ascii="ＭＳ ゴシック" w:eastAsia="ＭＳ ゴシック" w:hAnsi="ＭＳ ゴシック"/>
                        </w:rPr>
                        <w:t>指導計画作成と学習評価の充実による、</w:t>
                      </w:r>
                      <w:r w:rsidR="00661990" w:rsidRPr="00BC7451">
                        <w:rPr>
                          <w:rFonts w:ascii="ＭＳ ゴシック" w:eastAsia="ＭＳ ゴシック" w:hAnsi="ＭＳ ゴシック" w:hint="eastAsia"/>
                        </w:rPr>
                        <w:t>各教科等で</w:t>
                      </w:r>
                      <w:r w:rsidRPr="00BC7451">
                        <w:rPr>
                          <w:rFonts w:ascii="ＭＳ ゴシック" w:eastAsia="ＭＳ ゴシック" w:hAnsi="ＭＳ ゴシック"/>
                        </w:rPr>
                        <w:t>目指す資質・能力の育成</w:t>
                      </w:r>
                    </w:p>
                    <w:p w:rsidR="008E4466" w:rsidRPr="00BC7451" w:rsidRDefault="00661990" w:rsidP="00D3184D">
                      <w:pPr>
                        <w:pStyle w:val="a4"/>
                        <w:numPr>
                          <w:ilvl w:val="0"/>
                          <w:numId w:val="6"/>
                        </w:numPr>
                        <w:ind w:leftChars="0"/>
                        <w:rPr>
                          <w:rFonts w:ascii="ＭＳ ゴシック" w:eastAsia="ＭＳ ゴシック" w:hAnsi="ＭＳ ゴシック"/>
                        </w:rPr>
                      </w:pPr>
                      <w:r w:rsidRPr="00BC7451">
                        <w:rPr>
                          <w:rFonts w:ascii="ＭＳ ゴシック" w:eastAsia="ＭＳ ゴシック" w:hAnsi="ＭＳ ゴシック" w:hint="eastAsia"/>
                        </w:rPr>
                        <w:t>児童生徒に</w:t>
                      </w:r>
                      <w:r w:rsidR="008E4466" w:rsidRPr="00BC7451">
                        <w:rPr>
                          <w:rFonts w:ascii="ＭＳ ゴシック" w:eastAsia="ＭＳ ゴシック" w:hAnsi="ＭＳ ゴシック"/>
                        </w:rPr>
                        <w:t>資質・能力を育成するための、１人１台端末の効果的な活用</w:t>
                      </w:r>
                    </w:p>
                  </w:txbxContent>
                </v:textbox>
                <w10:wrap type="square"/>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663360" behindDoc="0" locked="0" layoutInCell="1" allowOverlap="1" wp14:anchorId="5ACD7DD3" wp14:editId="1860F3ED">
                <wp:simplePos x="0" y="0"/>
                <wp:positionH relativeFrom="margin">
                  <wp:posOffset>1905635</wp:posOffset>
                </wp:positionH>
                <wp:positionV relativeFrom="paragraph">
                  <wp:posOffset>428625</wp:posOffset>
                </wp:positionV>
                <wp:extent cx="2381250" cy="2762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2381250" cy="276225"/>
                        </a:xfrm>
                        <a:prstGeom prst="rect">
                          <a:avLst/>
                        </a:prstGeom>
                        <a:solidFill>
                          <a:schemeClr val="tx1"/>
                        </a:solidFill>
                        <a:ln w="6350">
                          <a:noFill/>
                        </a:ln>
                      </wps:spPr>
                      <wps:txbx>
                        <w:txbxContent>
                          <w:p w:rsidR="008E4466" w:rsidRPr="00C47768" w:rsidRDefault="008E4466" w:rsidP="008E4466">
                            <w:pPr>
                              <w:jc w:val="center"/>
                              <w:rPr>
                                <w:rFonts w:ascii="ＭＳ ゴシック" w:eastAsia="ＭＳ ゴシック" w:hAnsi="ＭＳ ゴシック"/>
                              </w:rPr>
                            </w:pPr>
                            <w:r>
                              <w:rPr>
                                <w:rFonts w:ascii="ＭＳ ゴシック" w:eastAsia="ＭＳ ゴシック" w:hAnsi="ＭＳ ゴシック" w:hint="eastAsia"/>
                              </w:rPr>
                              <w:t>令和</w:t>
                            </w:r>
                            <w:r w:rsidR="0084795A">
                              <w:rPr>
                                <w:rFonts w:ascii="ＭＳ ゴシック" w:eastAsia="ＭＳ ゴシック" w:hAnsi="ＭＳ ゴシック" w:hint="eastAsia"/>
                              </w:rPr>
                              <w:t>５</w:t>
                            </w:r>
                            <w:r w:rsidRPr="00C47768">
                              <w:rPr>
                                <w:rFonts w:ascii="ＭＳ ゴシック" w:eastAsia="ＭＳ ゴシック" w:hAnsi="ＭＳ ゴシック"/>
                              </w:rPr>
                              <w:t>年度</w:t>
                            </w:r>
                            <w:r w:rsidRPr="00C47768">
                              <w:rPr>
                                <w:rFonts w:ascii="ＭＳ ゴシック" w:eastAsia="ＭＳ ゴシック" w:hAnsi="ＭＳ ゴシック" w:hint="eastAsia"/>
                              </w:rPr>
                              <w:t xml:space="preserve">　</w:t>
                            </w:r>
                            <w:r w:rsidRPr="00C47768">
                              <w:rPr>
                                <w:rFonts w:ascii="ＭＳ ゴシック" w:eastAsia="ＭＳ ゴシック" w:hAnsi="ＭＳ ゴシック"/>
                              </w:rPr>
                              <w:t>改善の重点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D7DD3" id="_x0000_s1027" type="#_x0000_t202" style="position:absolute;left:0;text-align:left;margin-left:150.05pt;margin-top:33.75pt;width:187.5pt;height:21.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" fillcolor="black [3213]" stroked="f" strokeweight=".5pt">
                <v:textbox>
                  <w:txbxContent>
                    <w:p w:rsidR="008E4466" w:rsidRPr="00C47768" w:rsidRDefault="008E4466" w:rsidP="008E4466">
                      <w:pPr>
                        <w:jc w:val="center"/>
                        <w:rPr>
                          <w:rFonts w:ascii="ＭＳ ゴシック" w:eastAsia="ＭＳ ゴシック" w:hAnsi="ＭＳ ゴシック"/>
                        </w:rPr>
                      </w:pPr>
                      <w:r>
                        <w:rPr>
                          <w:rFonts w:ascii="ＭＳ ゴシック" w:eastAsia="ＭＳ ゴシック" w:hAnsi="ＭＳ ゴシック" w:hint="eastAsia"/>
                        </w:rPr>
                        <w:t>令和</w:t>
                      </w:r>
                      <w:r w:rsidR="0084795A">
                        <w:rPr>
                          <w:rFonts w:ascii="ＭＳ ゴシック" w:eastAsia="ＭＳ ゴシック" w:hAnsi="ＭＳ ゴシック" w:hint="eastAsia"/>
                        </w:rPr>
                        <w:t>５</w:t>
                      </w:r>
                      <w:r w:rsidRPr="00C47768">
                        <w:rPr>
                          <w:rFonts w:ascii="ＭＳ ゴシック" w:eastAsia="ＭＳ ゴシック" w:hAnsi="ＭＳ ゴシック"/>
                        </w:rPr>
                        <w:t>年度</w:t>
                      </w:r>
                      <w:r w:rsidRPr="00C47768">
                        <w:rPr>
                          <w:rFonts w:ascii="ＭＳ ゴシック" w:eastAsia="ＭＳ ゴシック" w:hAnsi="ＭＳ ゴシック" w:hint="eastAsia"/>
                        </w:rPr>
                        <w:t xml:space="preserve">　</w:t>
                      </w:r>
                      <w:r w:rsidRPr="00C47768">
                        <w:rPr>
                          <w:rFonts w:ascii="ＭＳ ゴシック" w:eastAsia="ＭＳ ゴシック" w:hAnsi="ＭＳ ゴシック"/>
                        </w:rPr>
                        <w:t>改善の重点</w:t>
                      </w:r>
                    </w:p>
                  </w:txbxContent>
                </v:textbox>
                <w10:wrap anchorx="margin"/>
              </v:shape>
            </w:pict>
          </mc:Fallback>
        </mc:AlternateContent>
      </w:r>
      <w:r w:rsidR="008E4466" w:rsidRPr="008E4466">
        <w:rPr>
          <w:rFonts w:ascii="ＭＳ 明朝" w:eastAsia="ＭＳ 明朝" w:hAnsi="ＭＳ 明朝" w:hint="eastAsia"/>
        </w:rPr>
        <w:t>各教科等において児童生徒の資質・能力の育成に向けた主体的・対話的で深い学びの</w:t>
      </w:r>
      <w:r w:rsidR="008F1AE3">
        <w:rPr>
          <w:rFonts w:ascii="ＭＳ 明朝" w:eastAsia="ＭＳ 明朝" w:hAnsi="ＭＳ 明朝" w:hint="eastAsia"/>
        </w:rPr>
        <w:t>視点からの</w:t>
      </w:r>
      <w:r w:rsidR="008E4466" w:rsidRPr="008E4466">
        <w:rPr>
          <w:rFonts w:ascii="ＭＳ 明朝" w:eastAsia="ＭＳ 明朝" w:hAnsi="ＭＳ 明朝" w:hint="eastAsia"/>
        </w:rPr>
        <w:t>授業改善を、「新大分スタンダード」「</w:t>
      </w:r>
      <w:r w:rsidR="008E4466" w:rsidRPr="008E4466">
        <w:rPr>
          <w:rFonts w:ascii="ＭＳ 明朝" w:eastAsia="ＭＳ 明朝" w:hAnsi="ＭＳ 明朝"/>
        </w:rPr>
        <w:t xml:space="preserve">GIGAスクール構想」の観点から一層推進する。　</w:t>
      </w:r>
    </w:p>
    <w:p w:rsidR="00D3184D" w:rsidRPr="003B1C03" w:rsidRDefault="0084795A" w:rsidP="008E4466">
      <w:pPr>
        <w:rPr>
          <w:rFonts w:ascii="ＭＳ ゴシック" w:eastAsia="ＭＳ ゴシック" w:hAnsi="ＭＳ ゴシック"/>
        </w:rPr>
      </w:pPr>
      <w:r w:rsidRPr="003B1C03">
        <w:rPr>
          <w:rFonts w:ascii="ＭＳ ゴシック" w:eastAsia="ＭＳ ゴシック" w:hAnsi="ＭＳ ゴシック" w:hint="eastAsia"/>
        </w:rPr>
        <w:t xml:space="preserve">１　</w:t>
      </w:r>
      <w:r w:rsidR="008E4466" w:rsidRPr="003B1C03">
        <w:rPr>
          <w:rFonts w:ascii="ＭＳ ゴシック" w:eastAsia="ＭＳ ゴシック" w:hAnsi="ＭＳ ゴシック" w:hint="eastAsia"/>
        </w:rPr>
        <w:t>設定理由</w:t>
      </w:r>
    </w:p>
    <w:p w:rsidR="003B1C03" w:rsidRPr="003B1C03" w:rsidRDefault="003B1C03" w:rsidP="003B1C03">
      <w:pPr>
        <w:pStyle w:val="a4"/>
        <w:numPr>
          <w:ilvl w:val="0"/>
          <w:numId w:val="3"/>
        </w:numPr>
        <w:ind w:leftChars="0" w:hanging="278"/>
        <w:rPr>
          <w:rFonts w:ascii="ＭＳ 明朝" w:eastAsia="ＭＳ 明朝" w:hAnsi="ＭＳ 明朝"/>
        </w:rPr>
      </w:pPr>
      <w:r w:rsidRPr="003B1C03">
        <w:rPr>
          <w:rFonts w:ascii="ＭＳ 明朝" w:eastAsia="ＭＳ 明朝" w:hAnsi="ＭＳ 明朝" w:hint="eastAsia"/>
        </w:rPr>
        <w:t>児童生徒が豊かな創造性を備え、持続可能な社会の創り手となることができるよう、各教科等の指導を通して、</w:t>
      </w:r>
      <w:r w:rsidR="00D55FFC">
        <w:rPr>
          <w:rFonts w:ascii="ＭＳ 明朝" w:eastAsia="ＭＳ 明朝" w:hAnsi="ＭＳ 明朝" w:hint="eastAsia"/>
        </w:rPr>
        <w:t>「児童生徒に</w:t>
      </w:r>
      <w:r w:rsidRPr="003B1C03">
        <w:rPr>
          <w:rFonts w:ascii="ＭＳ 明朝" w:eastAsia="ＭＳ 明朝" w:hAnsi="ＭＳ 明朝" w:hint="eastAsia"/>
        </w:rPr>
        <w:t>どのような資質・能力の育成を目指すのか</w:t>
      </w:r>
      <w:r w:rsidR="00D55FFC">
        <w:rPr>
          <w:rFonts w:ascii="ＭＳ 明朝" w:eastAsia="ＭＳ 明朝" w:hAnsi="ＭＳ 明朝" w:hint="eastAsia"/>
        </w:rPr>
        <w:t>」</w:t>
      </w:r>
      <w:r w:rsidRPr="003B1C03">
        <w:rPr>
          <w:rFonts w:ascii="ＭＳ 明朝" w:eastAsia="ＭＳ 明朝" w:hAnsi="ＭＳ 明朝" w:hint="eastAsia"/>
        </w:rPr>
        <w:t>を明確にしながら、教育活動の充実を図ることが求められます。その際、児童生徒の実態を踏まえ、「知識及び技能」の習得と、「思考力、判断力、表現力等」の育成、「学びに向かう力、人間性等」の涵養という、資質・能力の三つの柱の育成がバランスよく実現される必要があります。</w:t>
      </w:r>
    </w:p>
    <w:p w:rsidR="003B1C03" w:rsidRPr="009257D9" w:rsidRDefault="009257D9" w:rsidP="00854430">
      <w:pPr>
        <w:pStyle w:val="a4"/>
        <w:numPr>
          <w:ilvl w:val="0"/>
          <w:numId w:val="3"/>
        </w:numPr>
        <w:ind w:leftChars="0" w:hanging="278"/>
        <w:rPr>
          <w:rFonts w:ascii="ＭＳ 明朝" w:eastAsia="ＭＳ 明朝" w:hAnsi="ＭＳ 明朝"/>
        </w:rPr>
      </w:pPr>
      <w:r w:rsidRPr="0017508B">
        <w:rPr>
          <w:noProof/>
        </w:rPr>
        <w:drawing>
          <wp:anchor distT="0" distB="0" distL="114300" distR="114300" simplePos="0" relativeHeight="251665408" behindDoc="0" locked="0" layoutInCell="1" allowOverlap="1" wp14:anchorId="235A596A" wp14:editId="5C24FA31">
            <wp:simplePos x="0" y="0"/>
            <wp:positionH relativeFrom="margin">
              <wp:posOffset>2896477</wp:posOffset>
            </wp:positionH>
            <wp:positionV relativeFrom="paragraph">
              <wp:posOffset>1203823</wp:posOffset>
            </wp:positionV>
            <wp:extent cx="3326765" cy="2290445"/>
            <wp:effectExtent l="0" t="0" r="6985"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26765" cy="2290445"/>
                    </a:xfrm>
                    <a:prstGeom prst="rect">
                      <a:avLst/>
                    </a:prstGeom>
                  </pic:spPr>
                </pic:pic>
              </a:graphicData>
            </a:graphic>
            <wp14:sizeRelH relativeFrom="page">
              <wp14:pctWidth>0</wp14:pctWidth>
            </wp14:sizeRelH>
            <wp14:sizeRelV relativeFrom="page">
              <wp14:pctHeight>0</wp14:pctHeight>
            </wp14:sizeRelV>
          </wp:anchor>
        </w:drawing>
      </w:r>
      <w:r w:rsidR="00D55FFC" w:rsidRPr="009257D9">
        <w:rPr>
          <w:rFonts w:ascii="ＭＳ 明朝" w:eastAsia="ＭＳ 明朝" w:hAnsi="ＭＳ 明朝" w:hint="eastAsia"/>
        </w:rPr>
        <w:t>資質・能力</w:t>
      </w:r>
      <w:r w:rsidRPr="009257D9">
        <w:rPr>
          <w:rFonts w:ascii="ＭＳ 明朝" w:eastAsia="ＭＳ 明朝" w:hAnsi="ＭＳ 明朝" w:hint="eastAsia"/>
        </w:rPr>
        <w:t>の育成に当たっては、</w:t>
      </w:r>
      <w:r w:rsidR="00D55FFC" w:rsidRPr="009257D9">
        <w:rPr>
          <w:rFonts w:ascii="ＭＳ 明朝" w:eastAsia="ＭＳ 明朝" w:hAnsi="ＭＳ 明朝" w:hint="eastAsia"/>
        </w:rPr>
        <w:t>主体的・対話的で深い学びの視点からの授業改善を図ることが重要です。</w:t>
      </w:r>
      <w:r w:rsidRPr="009257D9">
        <w:rPr>
          <w:rFonts w:ascii="ＭＳ 明朝" w:eastAsia="ＭＳ 明朝" w:hAnsi="ＭＳ 明朝" w:hint="eastAsia"/>
        </w:rPr>
        <w:t>そのためには、</w:t>
      </w:r>
      <w:r w:rsidR="00D55FFC" w:rsidRPr="009257D9">
        <w:rPr>
          <w:rFonts w:ascii="ＭＳ 明朝" w:eastAsia="ＭＳ 明朝" w:hAnsi="ＭＳ 明朝" w:hint="eastAsia"/>
        </w:rPr>
        <w:t>単元や題材など内容や時間のまとまりを見通しながら、</w:t>
      </w:r>
      <w:r w:rsidR="003B1C03" w:rsidRPr="009257D9">
        <w:rPr>
          <w:rFonts w:ascii="ＭＳ 明朝" w:eastAsia="ＭＳ 明朝" w:hAnsi="ＭＳ 明朝" w:hint="eastAsia"/>
        </w:rPr>
        <w:t>例えば、学びの深まりをつくり出すために、児童生徒が考える場面と教師が教える場面をどのように組み立てるかといった視点で</w:t>
      </w:r>
      <w:r w:rsidR="00D55FFC" w:rsidRPr="009257D9">
        <w:rPr>
          <w:rFonts w:ascii="ＭＳ 明朝" w:eastAsia="ＭＳ 明朝" w:hAnsi="ＭＳ 明朝" w:hint="eastAsia"/>
        </w:rPr>
        <w:t>指導計画を作成すること</w:t>
      </w:r>
      <w:r w:rsidR="003B1C03" w:rsidRPr="009257D9">
        <w:rPr>
          <w:rFonts w:ascii="ＭＳ 明朝" w:eastAsia="ＭＳ 明朝" w:hAnsi="ＭＳ 明朝" w:hint="eastAsia"/>
        </w:rPr>
        <w:t>が大切です。また、</w:t>
      </w:r>
      <w:r w:rsidR="00D55FFC" w:rsidRPr="009257D9">
        <w:rPr>
          <w:rFonts w:ascii="ＭＳ 明朝" w:eastAsia="ＭＳ 明朝" w:hAnsi="ＭＳ 明朝" w:hint="eastAsia"/>
        </w:rPr>
        <w:t>「児童生徒にどういった力が身に付いたか」という学習の成果を的確に捉え、指導の改善や学習意欲の向上につなげていくためにも、</w:t>
      </w:r>
      <w:r w:rsidR="003B1C03" w:rsidRPr="009257D9">
        <w:rPr>
          <w:rFonts w:ascii="ＭＳ 明朝" w:eastAsia="ＭＳ 明朝" w:hAnsi="ＭＳ 明朝" w:hint="eastAsia"/>
        </w:rPr>
        <w:t>単元や題材など内容や時間のまとまりを見通しながら評価の場面や方法を工夫し</w:t>
      </w:r>
      <w:r>
        <w:rPr>
          <w:rFonts w:ascii="ＭＳ 明朝" w:eastAsia="ＭＳ 明朝" w:hAnsi="ＭＳ 明朝" w:hint="eastAsia"/>
        </w:rPr>
        <w:t>て、学習の過程や成果を評価し、</w:t>
      </w:r>
      <w:r w:rsidR="003B1C03" w:rsidRPr="009257D9">
        <w:rPr>
          <w:rFonts w:ascii="ＭＳ 明朝" w:eastAsia="ＭＳ 明朝" w:hAnsi="ＭＳ 明朝" w:hint="eastAsia"/>
        </w:rPr>
        <w:t>資質・能力の育成に生かすようにすることが求められます。</w:t>
      </w:r>
    </w:p>
    <w:p w:rsidR="008E4466" w:rsidRDefault="00C8630C" w:rsidP="003B1C03">
      <w:pPr>
        <w:pStyle w:val="a4"/>
        <w:numPr>
          <w:ilvl w:val="0"/>
          <w:numId w:val="3"/>
        </w:numPr>
        <w:ind w:leftChars="0" w:hanging="278"/>
        <w:rPr>
          <w:rFonts w:ascii="ＭＳ 明朝" w:eastAsia="ＭＳ 明朝" w:hAnsi="ＭＳ 明朝"/>
        </w:rPr>
      </w:pPr>
      <w:r w:rsidRPr="00C8630C">
        <w:rPr>
          <w:rFonts w:ascii="ＭＳ ゴシック" w:eastAsia="ＭＳ ゴシック" w:hAnsi="ＭＳ ゴシック"/>
          <w:noProof/>
        </w:rPr>
        <mc:AlternateContent>
          <mc:Choice Requires="wps">
            <w:drawing>
              <wp:anchor distT="45720" distB="45720" distL="114300" distR="114300" simplePos="0" relativeHeight="251669504" behindDoc="0" locked="0" layoutInCell="1" allowOverlap="1">
                <wp:simplePos x="0" y="0"/>
                <wp:positionH relativeFrom="margin">
                  <wp:align>right</wp:align>
                </wp:positionH>
                <wp:positionV relativeFrom="paragraph">
                  <wp:posOffset>1899285</wp:posOffset>
                </wp:positionV>
                <wp:extent cx="2660073" cy="140462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073" cy="1404620"/>
                        </a:xfrm>
                        <a:prstGeom prst="rect">
                          <a:avLst/>
                        </a:prstGeom>
                        <a:noFill/>
                        <a:ln w="9525">
                          <a:noFill/>
                          <a:miter lim="800000"/>
                          <a:headEnd/>
                          <a:tailEnd/>
                        </a:ln>
                      </wps:spPr>
                      <wps:txbx>
                        <w:txbxContent>
                          <w:p w:rsidR="00C8630C" w:rsidRDefault="00C8630C" w:rsidP="00C8630C">
                            <w:pPr>
                              <w:spacing w:line="120" w:lineRule="exact"/>
                              <w:rPr>
                                <w:sz w:val="10"/>
                              </w:rPr>
                            </w:pPr>
                            <w:r w:rsidRPr="00C8630C">
                              <w:rPr>
                                <w:rFonts w:hint="eastAsia"/>
                                <w:sz w:val="10"/>
                              </w:rPr>
                              <w:t>出典：</w:t>
                            </w:r>
                            <w:r w:rsidRPr="00C8630C">
                              <w:rPr>
                                <w:sz w:val="10"/>
                              </w:rPr>
                              <w:t>GIGA StuDX 推進チームの取組　新学習指導要領とGIGAスクール構想の関係</w:t>
                            </w:r>
                          </w:p>
                          <w:p w:rsidR="00C8630C" w:rsidRPr="00C8630C" w:rsidRDefault="00C8630C" w:rsidP="00C8630C">
                            <w:pPr>
                              <w:spacing w:line="120" w:lineRule="exact"/>
                              <w:jc w:val="right"/>
                              <w:rPr>
                                <w:sz w:val="10"/>
                              </w:rPr>
                            </w:pPr>
                            <w:r w:rsidRPr="00C8630C">
                              <w:rPr>
                                <w:sz w:val="10"/>
                              </w:rPr>
                              <w:t>（文部科学省 令和３年</w:t>
                            </w:r>
                            <w:r w:rsidR="00741CE9">
                              <w:rPr>
                                <w:rFonts w:hint="eastAsia"/>
                                <w:sz w:val="10"/>
                              </w:rPr>
                              <w:t>５</w:t>
                            </w:r>
                            <w:r w:rsidRPr="00C8630C">
                              <w:rPr>
                                <w:sz w:val="10"/>
                              </w:rPr>
                              <w:t>月</w:t>
                            </w:r>
                            <w:r w:rsidR="00741CE9">
                              <w:rPr>
                                <w:rFonts w:hint="eastAsia"/>
                                <w:sz w:val="10"/>
                              </w:rPr>
                              <w:t>１２</w:t>
                            </w:r>
                            <w:r w:rsidRPr="00C8630C">
                              <w:rPr>
                                <w:sz w:val="10"/>
                              </w:rPr>
                              <w:t>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158.25pt;margin-top:149.55pt;width:209.45pt;height:110.6pt;z-index:2516695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" filled="f" stroked="f">
                <v:textbox style="mso-fit-shape-to-text:t">
                  <w:txbxContent>
                    <w:p w:rsidR="00C8630C" w:rsidRDefault="00C8630C" w:rsidP="00C8630C">
                      <w:pPr>
                        <w:spacing w:line="120" w:lineRule="exact"/>
                        <w:rPr>
                          <w:sz w:val="10"/>
                        </w:rPr>
                      </w:pPr>
                      <w:r w:rsidRPr="00C8630C">
                        <w:rPr>
                          <w:rFonts w:hint="eastAsia"/>
                          <w:sz w:val="10"/>
                        </w:rPr>
                        <w:t>出典：</w:t>
                      </w:r>
                      <w:r w:rsidRPr="00C8630C">
                        <w:rPr>
                          <w:sz w:val="10"/>
                        </w:rPr>
                        <w:t>GIGA StuDX 推進チームの取組　新学習指導要領とGIGAスクール構想の関係</w:t>
                      </w:r>
                    </w:p>
                    <w:p w:rsidR="00C8630C" w:rsidRPr="00C8630C" w:rsidRDefault="00C8630C" w:rsidP="00C8630C">
                      <w:pPr>
                        <w:spacing w:line="120" w:lineRule="exact"/>
                        <w:jc w:val="right"/>
                        <w:rPr>
                          <w:sz w:val="10"/>
                        </w:rPr>
                      </w:pPr>
                      <w:r w:rsidRPr="00C8630C">
                        <w:rPr>
                          <w:sz w:val="10"/>
                        </w:rPr>
                        <w:t>（文部科学省 令和３年</w:t>
                      </w:r>
                      <w:r w:rsidR="00741CE9">
                        <w:rPr>
                          <w:rFonts w:hint="eastAsia"/>
                          <w:sz w:val="10"/>
                        </w:rPr>
                        <w:t>５</w:t>
                      </w:r>
                      <w:r w:rsidRPr="00C8630C">
                        <w:rPr>
                          <w:sz w:val="10"/>
                        </w:rPr>
                        <w:t>月</w:t>
                      </w:r>
                      <w:r w:rsidR="00741CE9">
                        <w:rPr>
                          <w:rFonts w:hint="eastAsia"/>
                          <w:sz w:val="10"/>
                        </w:rPr>
                        <w:t>１２</w:t>
                      </w:r>
                      <w:r w:rsidRPr="00C8630C">
                        <w:rPr>
                          <w:sz w:val="10"/>
                        </w:rPr>
                        <w:t>日）</w:t>
                      </w:r>
                    </w:p>
                  </w:txbxContent>
                </v:textbox>
                <w10:wrap anchorx="margin"/>
              </v:shape>
            </w:pict>
          </mc:Fallback>
        </mc:AlternateContent>
      </w:r>
      <w:r w:rsidR="003B1C03" w:rsidRPr="003B1C03">
        <w:rPr>
          <w:rFonts w:ascii="ＭＳ 明朝" w:eastAsia="ＭＳ 明朝" w:hAnsi="ＭＳ 明朝" w:hint="eastAsia"/>
        </w:rPr>
        <w:t>さらに、</w:t>
      </w:r>
      <w:r w:rsidR="00D55FFC">
        <w:rPr>
          <w:rFonts w:ascii="ＭＳ 明朝" w:eastAsia="ＭＳ 明朝" w:hAnsi="ＭＳ 明朝" w:hint="eastAsia"/>
        </w:rPr>
        <w:t>１人１台端末等ICTの活用に当たっては、</w:t>
      </w:r>
      <w:r w:rsidR="003B1C03" w:rsidRPr="003B1C03">
        <w:rPr>
          <w:rFonts w:ascii="ＭＳ 明朝" w:eastAsia="ＭＳ 明朝" w:hAnsi="ＭＳ 明朝" w:hint="eastAsia"/>
        </w:rPr>
        <w:t>令和３年中央教育審議会答申「令和の日本型学校教育の構築を目指して」に</w:t>
      </w:r>
      <w:r w:rsidR="00D55FFC">
        <w:rPr>
          <w:rFonts w:ascii="ＭＳ 明朝" w:eastAsia="ＭＳ 明朝" w:hAnsi="ＭＳ 明朝" w:hint="eastAsia"/>
        </w:rPr>
        <w:t>おいて、</w:t>
      </w:r>
      <w:r w:rsidR="003B1C03" w:rsidRPr="003B1C03">
        <w:rPr>
          <w:rFonts w:ascii="ＭＳ 明朝" w:eastAsia="ＭＳ 明朝" w:hAnsi="ＭＳ 明朝" w:hint="eastAsia"/>
        </w:rPr>
        <w:t>「</w:t>
      </w:r>
      <w:r w:rsidR="00D55FFC">
        <w:rPr>
          <w:rFonts w:ascii="ＭＳ 明朝" w:eastAsia="ＭＳ 明朝" w:hAnsi="ＭＳ 明朝" w:hint="eastAsia"/>
        </w:rPr>
        <w:t>各</w:t>
      </w:r>
      <w:r w:rsidR="003B1C03" w:rsidRPr="003B1C03">
        <w:rPr>
          <w:rFonts w:ascii="ＭＳ 明朝" w:eastAsia="ＭＳ 明朝" w:hAnsi="ＭＳ 明朝"/>
        </w:rPr>
        <w:t>教科等において育成を目指す資質・能力等を把握した上で、特に『主体的・対話的で深い学び』の実現に向けた授業改善に生かしていくことが重要である。」とあります。各教科等</w:t>
      </w:r>
      <w:r w:rsidR="00D55FFC">
        <w:rPr>
          <w:rFonts w:ascii="ＭＳ 明朝" w:eastAsia="ＭＳ 明朝" w:hAnsi="ＭＳ 明朝" w:hint="eastAsia"/>
        </w:rPr>
        <w:t>で</w:t>
      </w:r>
      <w:r w:rsidR="003B1C03" w:rsidRPr="003B1C03">
        <w:rPr>
          <w:rFonts w:ascii="ＭＳ 明朝" w:eastAsia="ＭＳ 明朝" w:hAnsi="ＭＳ 明朝"/>
        </w:rPr>
        <w:t>目指す資質・能力を育成するため、１人１台端末を効果的に活用した授業づくりが求められます。</w:t>
      </w:r>
    </w:p>
    <w:p w:rsidR="003B1C03" w:rsidRPr="003B1C03" w:rsidRDefault="003B1C03" w:rsidP="003B1C03">
      <w:pPr>
        <w:rPr>
          <w:rFonts w:ascii="ＭＳ 明朝" w:eastAsia="ＭＳ 明朝" w:hAnsi="ＭＳ 明朝"/>
        </w:rPr>
      </w:pPr>
      <w:bookmarkStart w:id="0" w:name="_GoBack"/>
      <w:bookmarkEnd w:id="0"/>
    </w:p>
    <w:p w:rsidR="008E4466" w:rsidRPr="003B1C03" w:rsidRDefault="0084795A" w:rsidP="008E4466">
      <w:pPr>
        <w:rPr>
          <w:rFonts w:ascii="ＭＳ ゴシック" w:eastAsia="ＭＳ ゴシック" w:hAnsi="ＭＳ ゴシック"/>
        </w:rPr>
      </w:pPr>
      <w:r w:rsidRPr="003B1C03">
        <w:rPr>
          <w:rFonts w:ascii="ＭＳ ゴシック" w:eastAsia="ＭＳ ゴシック" w:hAnsi="ＭＳ ゴシック" w:hint="eastAsia"/>
        </w:rPr>
        <w:t xml:space="preserve">２　</w:t>
      </w:r>
      <w:r w:rsidR="008E4466" w:rsidRPr="003B1C03">
        <w:rPr>
          <w:rFonts w:ascii="ＭＳ ゴシック" w:eastAsia="ＭＳ ゴシック" w:hAnsi="ＭＳ ゴシック" w:hint="eastAsia"/>
        </w:rPr>
        <w:t>研究を進めるに当たって</w:t>
      </w:r>
    </w:p>
    <w:p w:rsidR="003B1C03" w:rsidRPr="003B1C03" w:rsidRDefault="003B1C03" w:rsidP="003B1C03">
      <w:pPr>
        <w:pStyle w:val="a4"/>
        <w:numPr>
          <w:ilvl w:val="0"/>
          <w:numId w:val="8"/>
        </w:numPr>
        <w:ind w:leftChars="0" w:hanging="278"/>
        <w:rPr>
          <w:rFonts w:ascii="ＭＳ 明朝" w:eastAsia="ＭＳ 明朝" w:hAnsi="ＭＳ 明朝"/>
        </w:rPr>
      </w:pPr>
      <w:r w:rsidRPr="003B1C03">
        <w:rPr>
          <w:rFonts w:ascii="ＭＳ 明朝" w:eastAsia="ＭＳ 明朝" w:hAnsi="ＭＳ 明朝" w:hint="eastAsia"/>
        </w:rPr>
        <w:t>各教科等で目指す資質・能力</w:t>
      </w:r>
      <w:r>
        <w:rPr>
          <w:rFonts w:ascii="ＭＳ 明朝" w:eastAsia="ＭＳ 明朝" w:hAnsi="ＭＳ 明朝" w:hint="eastAsia"/>
        </w:rPr>
        <w:t>を</w:t>
      </w:r>
      <w:r w:rsidRPr="003B1C03">
        <w:rPr>
          <w:rFonts w:ascii="ＭＳ 明朝" w:eastAsia="ＭＳ 明朝" w:hAnsi="ＭＳ 明朝" w:hint="eastAsia"/>
        </w:rPr>
        <w:t>児童生徒に確実に育成するため、単元の指導計画を作成し、単元の目標や評価規準を明確に設定すること。また、各時間の指導に当たっては、児童生徒の学習状況を適切に見取り、</w:t>
      </w:r>
      <w:r w:rsidR="00B03CE0">
        <w:rPr>
          <w:rFonts w:ascii="ＭＳ 明朝" w:eastAsia="ＭＳ 明朝" w:hAnsi="ＭＳ 明朝" w:hint="eastAsia"/>
        </w:rPr>
        <w:t>教師の指導改善や児童生徒の学習改善につなげていくこと</w:t>
      </w:r>
      <w:r w:rsidRPr="003B1C03">
        <w:rPr>
          <w:rFonts w:ascii="ＭＳ 明朝" w:eastAsia="ＭＳ 明朝" w:hAnsi="ＭＳ 明朝" w:hint="eastAsia"/>
        </w:rPr>
        <w:t>。</w:t>
      </w:r>
    </w:p>
    <w:p w:rsidR="008E4466" w:rsidRDefault="003B1C03" w:rsidP="003B1C03">
      <w:pPr>
        <w:pStyle w:val="a4"/>
        <w:numPr>
          <w:ilvl w:val="0"/>
          <w:numId w:val="8"/>
        </w:numPr>
        <w:ind w:leftChars="0" w:hanging="278"/>
        <w:rPr>
          <w:rFonts w:ascii="ＭＳ 明朝" w:eastAsia="ＭＳ 明朝" w:hAnsi="ＭＳ 明朝"/>
        </w:rPr>
      </w:pPr>
      <w:r w:rsidRPr="003B1C03">
        <w:rPr>
          <w:rFonts w:ascii="ＭＳ 明朝" w:eastAsia="ＭＳ 明朝" w:hAnsi="ＭＳ 明朝" w:hint="eastAsia"/>
        </w:rPr>
        <w:t>１人１台端末の活用により指導の効果が高まる場面を</w:t>
      </w:r>
      <w:r w:rsidR="00B96991">
        <w:rPr>
          <w:rFonts w:ascii="ＭＳ 明朝" w:eastAsia="ＭＳ 明朝" w:hAnsi="ＭＳ 明朝" w:hint="eastAsia"/>
        </w:rPr>
        <w:t>見極めたり、指導者が意図をもって１人１台端末の活用場面を位置付け</w:t>
      </w:r>
      <w:r w:rsidRPr="003B1C03">
        <w:rPr>
          <w:rFonts w:ascii="ＭＳ 明朝" w:eastAsia="ＭＳ 明朝" w:hAnsi="ＭＳ 明朝" w:hint="eastAsia"/>
        </w:rPr>
        <w:t>たりした上で、目指す資質・能力の育成につなげること。その際、１人１台端末を活用すること自体が目的化してしまわないよう、十分留意すること。</w:t>
      </w:r>
    </w:p>
    <w:p w:rsidR="003B1C03" w:rsidRPr="003B1C03" w:rsidRDefault="003B1C03" w:rsidP="003B1C03">
      <w:pPr>
        <w:ind w:left="142"/>
        <w:rPr>
          <w:rFonts w:ascii="ＭＳ 明朝" w:eastAsia="ＭＳ 明朝" w:hAnsi="ＭＳ 明朝"/>
        </w:rPr>
      </w:pPr>
    </w:p>
    <w:p w:rsidR="008E4466" w:rsidRPr="003B1C03" w:rsidRDefault="0084795A" w:rsidP="008E4466">
      <w:pPr>
        <w:rPr>
          <w:rFonts w:ascii="ＭＳ ゴシック" w:eastAsia="ＭＳ ゴシック" w:hAnsi="ＭＳ ゴシック"/>
        </w:rPr>
      </w:pPr>
      <w:r w:rsidRPr="003B1C03">
        <w:rPr>
          <w:rFonts w:ascii="ＭＳ ゴシック" w:eastAsia="ＭＳ ゴシック" w:hAnsi="ＭＳ ゴシック" w:hint="eastAsia"/>
        </w:rPr>
        <w:t xml:space="preserve">３　</w:t>
      </w:r>
      <w:r w:rsidR="008E4466" w:rsidRPr="003B1C03">
        <w:rPr>
          <w:rFonts w:ascii="ＭＳ ゴシック" w:eastAsia="ＭＳ ゴシック" w:hAnsi="ＭＳ ゴシック" w:hint="eastAsia"/>
        </w:rPr>
        <w:t>参考とすべき資料</w:t>
      </w:r>
    </w:p>
    <w:p w:rsidR="003B1C03" w:rsidRPr="003B1C03" w:rsidRDefault="003B1C03" w:rsidP="003B1C03">
      <w:pPr>
        <w:pStyle w:val="a4"/>
        <w:numPr>
          <w:ilvl w:val="0"/>
          <w:numId w:val="9"/>
        </w:numPr>
        <w:ind w:leftChars="0" w:hanging="278"/>
        <w:rPr>
          <w:rFonts w:ascii="ＭＳ 明朝" w:eastAsia="ＭＳ 明朝" w:hAnsi="ＭＳ 明朝"/>
        </w:rPr>
      </w:pPr>
      <w:r w:rsidRPr="003B1C03">
        <w:rPr>
          <w:rFonts w:ascii="ＭＳ 明朝" w:eastAsia="ＭＳ 明朝" w:hAnsi="ＭＳ 明朝" w:hint="eastAsia"/>
        </w:rPr>
        <w:t>「『令和の日本型学校教育』の構築を目指して～全ての子供たちの可能性を引き出す、個別最適な学びと、協働的な学びの実現～」中央教育審議会、令和３年</w:t>
      </w:r>
      <w:r>
        <w:rPr>
          <w:rFonts w:ascii="ＭＳ 明朝" w:eastAsia="ＭＳ 明朝" w:hAnsi="ＭＳ 明朝" w:hint="eastAsia"/>
        </w:rPr>
        <w:t>１月</w:t>
      </w:r>
    </w:p>
    <w:p w:rsidR="00CF7295" w:rsidRPr="003B1C03" w:rsidRDefault="00CF7295" w:rsidP="003B1C03">
      <w:pPr>
        <w:pStyle w:val="a4"/>
        <w:numPr>
          <w:ilvl w:val="0"/>
          <w:numId w:val="9"/>
        </w:numPr>
        <w:ind w:leftChars="0" w:hanging="278"/>
        <w:rPr>
          <w:rFonts w:ascii="ＭＳ 明朝" w:eastAsia="ＭＳ 明朝" w:hAnsi="ＭＳ 明朝"/>
        </w:rPr>
      </w:pPr>
      <w:r w:rsidRPr="003B1C03">
        <w:rPr>
          <w:rFonts w:ascii="ＭＳ 明朝" w:eastAsia="ＭＳ 明朝" w:hAnsi="ＭＳ 明朝" w:hint="eastAsia"/>
        </w:rPr>
        <w:t>「『指導と評価の一体化』のための学習評価に関する参考資料」国立教育政策研究所、令和２年６月</w:t>
      </w:r>
    </w:p>
    <w:p w:rsidR="000F5CD9" w:rsidRPr="003B1C03" w:rsidRDefault="00CF7295" w:rsidP="003B1C03">
      <w:pPr>
        <w:pStyle w:val="a4"/>
        <w:numPr>
          <w:ilvl w:val="0"/>
          <w:numId w:val="9"/>
        </w:numPr>
        <w:ind w:leftChars="0" w:hanging="278"/>
        <w:rPr>
          <w:rFonts w:ascii="ＭＳ 明朝" w:eastAsia="ＭＳ 明朝" w:hAnsi="ＭＳ 明朝"/>
        </w:rPr>
      </w:pPr>
      <w:r w:rsidRPr="003B1C03">
        <w:rPr>
          <w:rFonts w:ascii="ＭＳ 明朝" w:eastAsia="ＭＳ 明朝" w:hAnsi="ＭＳ 明朝" w:hint="eastAsia"/>
        </w:rPr>
        <w:t>「</w:t>
      </w:r>
      <w:r w:rsidR="008E4466" w:rsidRPr="003B1C03">
        <w:rPr>
          <w:rFonts w:ascii="ＭＳ 明朝" w:eastAsia="ＭＳ 明朝" w:hAnsi="ＭＳ 明朝"/>
        </w:rPr>
        <w:t>Stu</w:t>
      </w:r>
      <w:r w:rsidRPr="003B1C03">
        <w:rPr>
          <w:rFonts w:ascii="ＭＳ 明朝" w:eastAsia="ＭＳ 明朝" w:hAnsi="ＭＳ 明朝"/>
        </w:rPr>
        <w:t>DX</w:t>
      </w:r>
      <w:r w:rsidR="008E4466" w:rsidRPr="003B1C03">
        <w:rPr>
          <w:rFonts w:ascii="ＭＳ 明朝" w:eastAsia="ＭＳ 明朝" w:hAnsi="ＭＳ 明朝"/>
        </w:rPr>
        <w:t xml:space="preserve"> Style</w:t>
      </w:r>
      <w:r w:rsidRPr="003B1C03">
        <w:rPr>
          <w:rFonts w:ascii="ＭＳ 明朝" w:eastAsia="ＭＳ 明朝" w:hAnsi="ＭＳ 明朝" w:hint="eastAsia"/>
        </w:rPr>
        <w:t xml:space="preserve">　</w:t>
      </w:r>
      <w:r w:rsidR="008E4466" w:rsidRPr="003B1C03">
        <w:rPr>
          <w:rFonts w:ascii="ＭＳ 明朝" w:eastAsia="ＭＳ 明朝" w:hAnsi="ＭＳ 明朝"/>
        </w:rPr>
        <w:t>各教科等における１人１台端末の活用事例</w:t>
      </w:r>
      <w:r w:rsidRPr="003B1C03">
        <w:rPr>
          <w:rFonts w:ascii="ＭＳ 明朝" w:eastAsia="ＭＳ 明朝" w:hAnsi="ＭＳ 明朝" w:hint="eastAsia"/>
        </w:rPr>
        <w:t>」文部科学省</w:t>
      </w:r>
    </w:p>
    <w:sectPr w:rsidR="000F5CD9" w:rsidRPr="003B1C03" w:rsidSect="00B03CE0">
      <w:pgSz w:w="11906" w:h="16838" w:code="9"/>
      <w:pgMar w:top="1247" w:right="1077" w:bottom="1247" w:left="1077"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383" w:rsidRDefault="00A43383" w:rsidP="00B96991">
      <w:r>
        <w:separator/>
      </w:r>
    </w:p>
  </w:endnote>
  <w:endnote w:type="continuationSeparator" w:id="0">
    <w:p w:rsidR="00A43383" w:rsidRDefault="00A43383" w:rsidP="00B96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383" w:rsidRDefault="00A43383" w:rsidP="00B96991">
      <w:r>
        <w:separator/>
      </w:r>
    </w:p>
  </w:footnote>
  <w:footnote w:type="continuationSeparator" w:id="0">
    <w:p w:rsidR="00A43383" w:rsidRDefault="00A43383" w:rsidP="00B969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4DF2"/>
    <w:multiLevelType w:val="hybridMultilevel"/>
    <w:tmpl w:val="EA508846"/>
    <w:lvl w:ilvl="0" w:tplc="849493F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C14564"/>
    <w:multiLevelType w:val="hybridMultilevel"/>
    <w:tmpl w:val="A1B061E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B97132"/>
    <w:multiLevelType w:val="hybridMultilevel"/>
    <w:tmpl w:val="B46C2B02"/>
    <w:lvl w:ilvl="0" w:tplc="849493F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EE3221"/>
    <w:multiLevelType w:val="hybridMultilevel"/>
    <w:tmpl w:val="991433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EE54CAB"/>
    <w:multiLevelType w:val="hybridMultilevel"/>
    <w:tmpl w:val="EC980076"/>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0A09FF"/>
    <w:multiLevelType w:val="hybridMultilevel"/>
    <w:tmpl w:val="7AFC73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D6A2D23"/>
    <w:multiLevelType w:val="hybridMultilevel"/>
    <w:tmpl w:val="B0F2CE7E"/>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83A5EEB"/>
    <w:multiLevelType w:val="hybridMultilevel"/>
    <w:tmpl w:val="4CB87F46"/>
    <w:lvl w:ilvl="0" w:tplc="849493F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819539F"/>
    <w:multiLevelType w:val="hybridMultilevel"/>
    <w:tmpl w:val="6C682FD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3"/>
  </w:num>
  <w:num w:numId="3">
    <w:abstractNumId w:val="0"/>
  </w:num>
  <w:num w:numId="4">
    <w:abstractNumId w:val="2"/>
  </w:num>
  <w:num w:numId="5">
    <w:abstractNumId w:val="1"/>
  </w:num>
  <w:num w:numId="6">
    <w:abstractNumId w:val="6"/>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40"/>
  <w:drawingGridHorizontalSpacing w:val="105"/>
  <w:drawingGridVerticalSpacing w:val="30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466"/>
    <w:rsid w:val="000F5CD9"/>
    <w:rsid w:val="002F3498"/>
    <w:rsid w:val="00345568"/>
    <w:rsid w:val="003B1C03"/>
    <w:rsid w:val="0047414C"/>
    <w:rsid w:val="00661990"/>
    <w:rsid w:val="00741CE9"/>
    <w:rsid w:val="00757B80"/>
    <w:rsid w:val="008300D4"/>
    <w:rsid w:val="0084795A"/>
    <w:rsid w:val="008E4466"/>
    <w:rsid w:val="008F1AE3"/>
    <w:rsid w:val="009257D9"/>
    <w:rsid w:val="0094022B"/>
    <w:rsid w:val="009A394D"/>
    <w:rsid w:val="00A43383"/>
    <w:rsid w:val="00B03CE0"/>
    <w:rsid w:val="00B669AE"/>
    <w:rsid w:val="00B96991"/>
    <w:rsid w:val="00BB103B"/>
    <w:rsid w:val="00BC7451"/>
    <w:rsid w:val="00BE17C0"/>
    <w:rsid w:val="00C8630C"/>
    <w:rsid w:val="00CF7295"/>
    <w:rsid w:val="00D3184D"/>
    <w:rsid w:val="00D55FFC"/>
    <w:rsid w:val="00DC2032"/>
    <w:rsid w:val="00E97E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074E10"/>
  <w15:chartTrackingRefBased/>
  <w15:docId w15:val="{4D2A1E0F-739F-4707-9E89-D2A365FB0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E44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E4466"/>
    <w:pPr>
      <w:ind w:leftChars="400" w:left="840"/>
    </w:pPr>
  </w:style>
  <w:style w:type="character" w:styleId="a5">
    <w:name w:val="Hyperlink"/>
    <w:basedOn w:val="a0"/>
    <w:uiPriority w:val="99"/>
    <w:unhideWhenUsed/>
    <w:rsid w:val="00CF7295"/>
    <w:rPr>
      <w:color w:val="0563C1" w:themeColor="hyperlink"/>
      <w:u w:val="single"/>
    </w:rPr>
  </w:style>
  <w:style w:type="paragraph" w:styleId="a6">
    <w:name w:val="Balloon Text"/>
    <w:basedOn w:val="a"/>
    <w:link w:val="a7"/>
    <w:uiPriority w:val="99"/>
    <w:semiHidden/>
    <w:unhideWhenUsed/>
    <w:rsid w:val="00CF729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F7295"/>
    <w:rPr>
      <w:rFonts w:asciiTheme="majorHAnsi" w:eastAsiaTheme="majorEastAsia" w:hAnsiTheme="majorHAnsi" w:cstheme="majorBidi"/>
      <w:sz w:val="18"/>
      <w:szCs w:val="18"/>
    </w:rPr>
  </w:style>
  <w:style w:type="paragraph" w:styleId="a8">
    <w:name w:val="header"/>
    <w:basedOn w:val="a"/>
    <w:link w:val="a9"/>
    <w:uiPriority w:val="99"/>
    <w:unhideWhenUsed/>
    <w:rsid w:val="00B96991"/>
    <w:pPr>
      <w:tabs>
        <w:tab w:val="center" w:pos="4252"/>
        <w:tab w:val="right" w:pos="8504"/>
      </w:tabs>
      <w:snapToGrid w:val="0"/>
    </w:pPr>
  </w:style>
  <w:style w:type="character" w:customStyle="1" w:styleId="a9">
    <w:name w:val="ヘッダー (文字)"/>
    <w:basedOn w:val="a0"/>
    <w:link w:val="a8"/>
    <w:uiPriority w:val="99"/>
    <w:rsid w:val="00B96991"/>
  </w:style>
  <w:style w:type="paragraph" w:styleId="aa">
    <w:name w:val="footer"/>
    <w:basedOn w:val="a"/>
    <w:link w:val="ab"/>
    <w:uiPriority w:val="99"/>
    <w:unhideWhenUsed/>
    <w:rsid w:val="00B96991"/>
    <w:pPr>
      <w:tabs>
        <w:tab w:val="center" w:pos="4252"/>
        <w:tab w:val="right" w:pos="8504"/>
      </w:tabs>
      <w:snapToGrid w:val="0"/>
    </w:pPr>
  </w:style>
  <w:style w:type="character" w:customStyle="1" w:styleId="ab">
    <w:name w:val="フッター (文字)"/>
    <w:basedOn w:val="a0"/>
    <w:link w:val="aa"/>
    <w:uiPriority w:val="99"/>
    <w:rsid w:val="00B969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187</Words>
  <Characters>1067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田代和馬</dc:creator>
  <cp:keywords/>
  <dc:description/>
  <cp:lastModifiedBy>oitapref</cp:lastModifiedBy>
  <cp:revision>3</cp:revision>
  <cp:lastPrinted>2024-10-04T02:10:00Z</cp:lastPrinted>
  <dcterms:created xsi:type="dcterms:W3CDTF">2024-10-04T02:18:00Z</dcterms:created>
  <dcterms:modified xsi:type="dcterms:W3CDTF">2024-10-04T04:41:00Z</dcterms:modified>
</cp:coreProperties>
</file>